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6A" w:rsidRDefault="003C387F" w:rsidP="00B775FA">
      <w:pPr>
        <w:pStyle w:val="KeinLeerraum"/>
        <w:spacing w:line="360" w:lineRule="auto"/>
        <w:rPr>
          <w:rFonts w:ascii="Tahoma" w:hAnsi="Tahoma" w:cs="Tahoma"/>
        </w:rPr>
      </w:pPr>
      <w:r>
        <w:rPr>
          <w:rFonts w:ascii="Tahoma" w:hAnsi="Tahoma"/>
        </w:rPr>
        <w:t xml:space="preserve">PR-87 Plan stratégique futur S - Aperçu -d Safenwil, 16.01.2020</w:t>
      </w:r>
    </w:p>
    <w:p w:rsidR="003C387F" w:rsidRDefault="003C387F" w:rsidP="00B775FA">
      <w:pPr>
        <w:pStyle w:val="KeinLeerraum"/>
        <w:spacing w:line="360" w:lineRule="auto"/>
        <w:rPr>
          <w:rFonts w:ascii="Tahoma" w:hAnsi="Tahoma" w:cs="Tahoma"/>
        </w:rPr>
      </w:pPr>
    </w:p>
    <w:p w:rsidR="003C387F" w:rsidRDefault="003C387F" w:rsidP="00B775FA">
      <w:pPr>
        <w:pStyle w:val="KeinLeerraum"/>
        <w:spacing w:line="360" w:lineRule="auto"/>
        <w:rPr>
          <w:rFonts w:ascii="Tahoma" w:hAnsi="Tahoma" w:cs="Tahoma"/>
        </w:rPr>
      </w:pPr>
    </w:p>
    <w:p w:rsidR="003C387F" w:rsidRPr="003C387F" w:rsidRDefault="003C387F" w:rsidP="003C387F">
      <w:pPr>
        <w:spacing w:line="358" w:lineRule="atLeast"/>
        <w:outlineLvl w:val="0"/>
        <w:rPr>
          <w:sz w:val="32"/>
          <w:szCs w:val="32"/>
          <w:rFonts w:ascii="Arial" w:eastAsia="Times New Roman" w:hAnsi="Arial" w:cs="Arial"/>
        </w:rPr>
      </w:pPr>
      <w:r>
        <w:rPr>
          <w:sz w:val="32"/>
          <w:szCs w:val="32"/>
          <w:rFonts w:ascii="Arial" w:hAnsi="Arial"/>
        </w:rPr>
        <w:t xml:space="preserve">Stratégie «Plan S»:</w:t>
      </w:r>
      <w:r>
        <w:rPr>
          <w:sz w:val="32"/>
          <w:szCs w:val="32"/>
          <w:rFonts w:ascii="Arial" w:hAnsi="Arial"/>
        </w:rPr>
        <w:t xml:space="preserve"> </w:t>
      </w:r>
      <w:r>
        <w:rPr>
          <w:sz w:val="32"/>
          <w:szCs w:val="32"/>
          <w:rFonts w:ascii="Arial" w:hAnsi="Arial"/>
        </w:rPr>
        <w:t xml:space="preserve">Kia vise le leadership dans les véhicules électriques</w:t>
      </w:r>
    </w:p>
    <w:p w:rsidR="003C387F" w:rsidRPr="003C387F" w:rsidRDefault="003C387F" w:rsidP="003C387F">
      <w:pPr>
        <w:tabs>
          <w:tab w:val="left" w:pos="170"/>
        </w:tabs>
        <w:spacing w:line="358" w:lineRule="atLeast"/>
        <w:ind w:left="170" w:hanging="170"/>
        <w:rPr>
          <w:rFonts w:ascii="Arial" w:eastAsia="Times New Roman" w:hAnsi="Arial" w:cs="Arial"/>
          <w:b/>
          <w:bCs/>
          <w:color w:val="FF0000"/>
          <w:lang w:val="de-DE" w:eastAsia="de-DE"/>
        </w:rPr>
      </w:pPr>
    </w:p>
    <w:p w:rsidR="00122398" w:rsidRDefault="00AC20FA" w:rsidP="00AC20FA">
      <w:pPr>
        <w:autoSpaceDE w:val="0"/>
        <w:autoSpaceDN w:val="0"/>
        <w:adjustRightInd w:val="0"/>
        <w:spacing w:line="360" w:lineRule="auto"/>
        <w:rPr>
          <w:rFonts w:ascii="ArialMT" w:hAnsi="ArialMT" w:cs="ArialMT"/>
        </w:rPr>
      </w:pPr>
      <w:r>
        <w:rPr>
          <w:rFonts w:ascii="ArialMT" w:hAnsi="ArialMT"/>
        </w:rPr>
        <w:t xml:space="preserve">Lors de sa Journée des investisseurs à Séoul, Kia Motors Corporation a présenté les détails de son «Plan S» parallèlement à sa stratégie financière et d’investissement jusqu’en 2025.</w:t>
      </w:r>
      <w:r>
        <w:rPr>
          <w:rFonts w:ascii="ArialMT" w:hAnsi="ArialMT"/>
        </w:rPr>
        <w:t xml:space="preserve"> </w:t>
      </w:r>
      <w:r>
        <w:rPr>
          <w:rFonts w:ascii="ArialMT" w:hAnsi="ArialMT"/>
        </w:rPr>
        <w:t xml:space="preserve">Avec cette stratégie à moyen et à long terme, qui comprend l’électrification des motorisations et des services de mobilité ainsi que la connectivité et la conduite automatisée, l’entreprise cible progressivement un rôle de premier plan dans la future industrie automobile.</w:t>
      </w:r>
      <w:r>
        <w:rPr>
          <w:rFonts w:ascii="ArialMT" w:hAnsi="ArialMT"/>
        </w:rPr>
        <w:t xml:space="preserve"> </w:t>
      </w:r>
      <w:r>
        <w:rPr>
          <w:rFonts w:ascii="ArialMT" w:hAnsi="ArialMT"/>
        </w:rPr>
        <w:t xml:space="preserve">La stratégie duale «Plan S» de Kia met le cap sur une transition prospective d’un système commercial axé sur les véhicules thermiques vers un système centré sur les véhicules électriques et les solutions de mobilité sur mesure.</w:t>
      </w:r>
    </w:p>
    <w:p w:rsidR="00AC20FA" w:rsidRDefault="00AC20FA" w:rsidP="00AC20FA">
      <w:pPr>
        <w:autoSpaceDE w:val="0"/>
        <w:autoSpaceDN w:val="0"/>
        <w:adjustRightInd w:val="0"/>
        <w:spacing w:line="360" w:lineRule="auto"/>
        <w:rPr>
          <w:rFonts w:ascii="ArialMT" w:hAnsi="ArialMT" w:cs="ArialMT"/>
          <w:lang w:eastAsia="de-CH"/>
        </w:rPr>
      </w:pPr>
    </w:p>
    <w:p w:rsidR="00AC20FA" w:rsidRDefault="00AC20FA"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rFonts w:ascii="Arial-BoldMT" w:hAnsi="Arial-BoldMT" w:cs="Arial-BoldMT"/>
          <w:b/>
          <w:bCs/>
          <w:lang w:eastAsia="de-CH"/>
        </w:rPr>
      </w:pPr>
    </w:p>
    <w:p w:rsidR="001B11AC" w:rsidRDefault="001B11AC" w:rsidP="00AC20FA">
      <w:pPr>
        <w:autoSpaceDE w:val="0"/>
        <w:autoSpaceDN w:val="0"/>
        <w:adjustRightInd w:val="0"/>
        <w:rPr>
          <w:b/>
          <w:bCs/>
          <w:rFonts w:ascii="Arial-BoldMT" w:hAnsi="Arial-BoldMT" w:cs="Arial-BoldMT"/>
        </w:rPr>
      </w:pPr>
      <w:r>
        <w:rPr>
          <w:b/>
          <w:bCs/>
          <w:rFonts w:ascii="Arial-BoldMT" w:hAnsi="Arial-BoldMT"/>
        </w:rPr>
        <w:t xml:space="preserve">La stratégie «Plan S» de Kia d’un coup d’œil:</w:t>
      </w:r>
    </w:p>
    <w:p w:rsidR="001B11AC" w:rsidRDefault="001B11AC" w:rsidP="00AC20FA">
      <w:pPr>
        <w:autoSpaceDE w:val="0"/>
        <w:autoSpaceDN w:val="0"/>
        <w:adjustRightInd w:val="0"/>
        <w:rPr>
          <w:rFonts w:ascii="Arial-BoldMT" w:hAnsi="Arial-BoldMT" w:cs="Arial-BoldMT"/>
          <w:b/>
          <w:bCs/>
          <w:lang w:eastAsia="de-CH"/>
        </w:rPr>
      </w:pPr>
    </w:p>
    <w:tbl>
      <w:tblPr>
        <w:tblStyle w:val="Tabellenraster"/>
        <w:tblW w:w="9493" w:type="dxa"/>
        <w:tblLook w:val="04A0" w:firstRow="1" w:lastRow="0" w:firstColumn="1" w:lastColumn="0" w:noHBand="0" w:noVBand="1"/>
      </w:tblPr>
      <w:tblGrid>
        <w:gridCol w:w="2551"/>
        <w:gridCol w:w="6942"/>
      </w:tblGrid>
      <w:tr w:rsidR="00377375" w:rsidTr="001B11AC">
        <w:trPr>
          <w:trHeight w:val="6940"/>
        </w:trPr>
        <w:tc>
          <w:tcPr>
            <w:tcW w:w="2551" w:type="dxa"/>
          </w:tcPr>
          <w:p w:rsidR="00377375" w:rsidRDefault="00377375" w:rsidP="00B20B96">
            <w:pPr>
              <w:autoSpaceDE w:val="0"/>
              <w:autoSpaceDN w:val="0"/>
              <w:adjustRightInd w:val="0"/>
              <w:spacing w:line="276" w:lineRule="auto"/>
              <w:rPr>
                <w:b/>
                <w:bCs/>
                <w:rFonts w:ascii="Arial-BoldMT" w:hAnsi="Arial-BoldMT" w:cs="Arial-BoldMT"/>
              </w:rPr>
            </w:pPr>
            <w:r>
              <w:rPr>
                <w:b/>
                <w:bCs/>
                <w:rFonts w:ascii="Arial-BoldMT" w:hAnsi="Arial-BoldMT"/>
              </w:rPr>
              <w:t xml:space="preserve">Conversion prospective à l’activité véhicules électriques</w:t>
            </w:r>
          </w:p>
          <w:p w:rsidR="00377375" w:rsidRDefault="00377375" w:rsidP="00AC20FA">
            <w:pPr>
              <w:autoSpaceDE w:val="0"/>
              <w:autoSpaceDN w:val="0"/>
              <w:adjustRightInd w:val="0"/>
              <w:rPr>
                <w:rFonts w:ascii="Arial-BoldMT" w:hAnsi="Arial-BoldMT" w:cs="Arial-BoldMT"/>
                <w:b/>
                <w:bCs/>
                <w:lang w:eastAsia="de-CH"/>
              </w:rPr>
            </w:pPr>
          </w:p>
        </w:tc>
        <w:tc>
          <w:tcPr>
            <w:tcW w:w="6942" w:type="dxa"/>
          </w:tcPr>
          <w:p w:rsidR="00377375" w:rsidRDefault="00377375" w:rsidP="00B20B96">
            <w:pPr>
              <w:autoSpaceDE w:val="0"/>
              <w:autoSpaceDN w:val="0"/>
              <w:adjustRightInd w:val="0"/>
              <w:spacing w:line="276" w:lineRule="auto"/>
              <w:rPr>
                <w:b/>
                <w:bCs/>
                <w:rFonts w:ascii="Arial-BoldMT" w:hAnsi="Arial-BoldMT" w:cs="Arial-BoldMT"/>
              </w:rPr>
            </w:pPr>
            <w:r>
              <w:rPr>
                <w:b/>
                <w:bCs/>
                <w:rFonts w:ascii="Arial-BoldMT" w:hAnsi="Arial-BoldMT"/>
              </w:rPr>
              <w:t xml:space="preserve">Leadership dans la généralisation des véhicules électriques (VE)</w:t>
            </w:r>
          </w:p>
          <w:p w:rsidR="00377375" w:rsidRDefault="00377375" w:rsidP="00377375">
            <w:pPr>
              <w:autoSpaceDE w:val="0"/>
              <w:autoSpaceDN w:val="0"/>
              <w:adjustRightInd w:val="0"/>
              <w:rPr>
                <w:rFonts w:ascii="Arial-BoldMT" w:hAnsi="Arial-BoldMT" w:cs="Arial-BoldMT"/>
                <w:b/>
                <w:bCs/>
                <w:lang w:eastAsia="de-CH"/>
              </w:rPr>
            </w:pPr>
          </w:p>
          <w:p w:rsidR="00377375" w:rsidRPr="004B3055" w:rsidRDefault="00377375" w:rsidP="00B20B96">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Lancement d’un modèle électrique dédié en 2021</w:t>
            </w:r>
          </w:p>
          <w:p w:rsidR="00377375" w:rsidRPr="004B3055" w:rsidRDefault="00377375" w:rsidP="00B20B96">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Mise sur pied d’une gamme complète de VE comptant onze modèles et obtention d’une part de 6,6 pour cent du marché mondial des VE d’ici à 2025</w:t>
            </w:r>
          </w:p>
          <w:p w:rsidR="00377375" w:rsidRPr="004B3055" w:rsidRDefault="00377375" w:rsidP="00B20B96">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Vente de 500 000 VE et d’un million de véhicules écoresponsables d’ici 2026</w:t>
            </w:r>
          </w:p>
          <w:p w:rsidR="00377375" w:rsidRPr="004B3055" w:rsidRDefault="00377375" w:rsidP="00B20B96">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Proposition simultanée de différents dérivés de VE à différents niveaux de prix et d’équipement</w:t>
            </w:r>
          </w:p>
          <w:p w:rsidR="00ED5906" w:rsidRPr="004B3055" w:rsidRDefault="00ED5906" w:rsidP="00ED5906">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Développement des marchés clés pour en faire des bases principales pour les véhicules électriques avec une part de 20 pour cent des immatriculations pour Kia d’ici 2025</w:t>
            </w:r>
          </w:p>
          <w:p w:rsidR="00ED5906" w:rsidRPr="00CC6FB1" w:rsidRDefault="00ED5906" w:rsidP="00CC6FB1">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Introduction sélective de modèles électriques dans les marchés émergents, tout en augmentant les ventes de véhicules à moteur thermique</w:t>
            </w:r>
          </w:p>
          <w:p w:rsidR="00ED5906" w:rsidRPr="00CC6FB1" w:rsidRDefault="00ED5906" w:rsidP="00CC6FB1">
            <w:pPr>
              <w:pStyle w:val="Listenabsatz"/>
              <w:numPr>
                <w:ilvl w:val="0"/>
                <w:numId w:val="27"/>
              </w:numPr>
              <w:autoSpaceDE w:val="0"/>
              <w:autoSpaceDN w:val="0"/>
              <w:adjustRightInd w:val="0"/>
              <w:spacing w:line="276" w:lineRule="auto"/>
              <w:ind w:leftChars="0"/>
              <w:rPr>
                <w:rFonts w:ascii="ArialMT" w:hAnsi="ArialMT" w:cs="ArialMT"/>
              </w:rPr>
            </w:pPr>
            <w:r>
              <w:rPr>
                <w:rFonts w:ascii="ArialMT" w:hAnsi="ArialMT"/>
              </w:rPr>
              <w:t xml:space="preserve">Introduction d’un système de développement pour l’architecture des VE</w:t>
            </w:r>
          </w:p>
          <w:p w:rsidR="00377375" w:rsidRPr="001B11AC" w:rsidRDefault="00ED5906" w:rsidP="00AC20FA">
            <w:pPr>
              <w:pStyle w:val="Listenabsatz"/>
              <w:numPr>
                <w:ilvl w:val="0"/>
                <w:numId w:val="27"/>
              </w:numPr>
              <w:autoSpaceDE w:val="0"/>
              <w:autoSpaceDN w:val="0"/>
              <w:adjustRightInd w:val="0"/>
              <w:spacing w:line="276" w:lineRule="auto"/>
              <w:ind w:leftChars="0"/>
              <w:rPr>
                <w:sz w:val="22"/>
                <w:szCs w:val="22"/>
                <w:rFonts w:ascii="Arial" w:hAnsi="Arial" w:cs="Arial"/>
              </w:rPr>
            </w:pPr>
            <w:r>
              <w:rPr>
                <w:rFonts w:ascii="ArialMT" w:hAnsi="ArialMT"/>
              </w:rPr>
              <w:t xml:space="preserve">Renouvellement des ventes de VE</w:t>
            </w:r>
          </w:p>
        </w:tc>
      </w:tr>
      <w:tr w:rsidR="00CC6FB1" w:rsidTr="001B11AC">
        <w:trPr>
          <w:trHeight w:val="2546"/>
        </w:trPr>
        <w:tc>
          <w:tcPr>
            <w:tcW w:w="2551" w:type="dxa"/>
          </w:tcPr>
          <w:p w:rsidR="00CC6FB1" w:rsidRDefault="00CC6FB1" w:rsidP="004B3055">
            <w:pPr>
              <w:autoSpaceDE w:val="0"/>
              <w:autoSpaceDN w:val="0"/>
              <w:adjustRightInd w:val="0"/>
              <w:spacing w:line="276" w:lineRule="auto"/>
              <w:rPr>
                <w:b/>
                <w:bCs/>
                <w:rFonts w:ascii="Arial-BoldMT" w:hAnsi="Arial-BoldMT" w:cs="Arial-BoldMT"/>
              </w:rPr>
            </w:pPr>
            <w:r>
              <w:rPr>
                <w:b/>
                <w:bCs/>
                <w:rFonts w:ascii="Arial-BoldMT" w:hAnsi="Arial-BoldMT"/>
              </w:rPr>
              <w:t xml:space="preserve">Fourniture de solutions de mobilité sur mesure</w:t>
            </w:r>
          </w:p>
        </w:tc>
        <w:tc>
          <w:tcPr>
            <w:tcW w:w="6942" w:type="dxa"/>
          </w:tcPr>
          <w:p w:rsidR="00CC6FB1" w:rsidRDefault="00CC6FB1" w:rsidP="00CC6FB1">
            <w:pPr>
              <w:autoSpaceDE w:val="0"/>
              <w:autoSpaceDN w:val="0"/>
              <w:adjustRightInd w:val="0"/>
              <w:spacing w:line="276" w:lineRule="auto"/>
              <w:rPr>
                <w:b/>
                <w:bCs/>
                <w:rFonts w:ascii="Arial-BoldMT" w:hAnsi="Arial-BoldMT" w:cs="Arial-BoldMT"/>
              </w:rPr>
            </w:pPr>
            <w:r>
              <w:rPr>
                <w:b/>
                <w:bCs/>
                <w:rFonts w:ascii="Arial-BoldMT" w:hAnsi="Arial-BoldMT"/>
              </w:rPr>
              <w:t xml:space="preserve">Accent sur les solutions de mobilité pour les véhicules électriques et autonomes, entrée dans le secteur des véhicules à usage spécial (PBV)</w:t>
            </w:r>
          </w:p>
          <w:p w:rsidR="00CC6FB1" w:rsidRDefault="00CC6FB1" w:rsidP="00CC6FB1">
            <w:pPr>
              <w:autoSpaceDE w:val="0"/>
              <w:autoSpaceDN w:val="0"/>
              <w:adjustRightInd w:val="0"/>
              <w:spacing w:line="276" w:lineRule="auto"/>
              <w:rPr>
                <w:rFonts w:ascii="Arial-BoldMT" w:hAnsi="Arial-BoldMT" w:cs="Arial-BoldMT"/>
                <w:b/>
                <w:bCs/>
                <w:lang w:eastAsia="de-CH"/>
              </w:rPr>
            </w:pPr>
          </w:p>
          <w:p w:rsidR="00CC6FB1" w:rsidRPr="00CC6FB1" w:rsidRDefault="00CC6FB1" w:rsidP="00CC6FB1">
            <w:pPr>
              <w:pStyle w:val="Listenabsatz"/>
              <w:numPr>
                <w:ilvl w:val="0"/>
                <w:numId w:val="28"/>
              </w:numPr>
              <w:autoSpaceDE w:val="0"/>
              <w:autoSpaceDN w:val="0"/>
              <w:adjustRightInd w:val="0"/>
              <w:spacing w:line="276" w:lineRule="auto"/>
              <w:ind w:leftChars="0"/>
              <w:rPr>
                <w:rFonts w:ascii="ArialMT" w:hAnsi="ArialMT" w:cs="ArialMT"/>
              </w:rPr>
            </w:pPr>
            <w:r>
              <w:rPr>
                <w:rFonts w:ascii="ArialMT" w:hAnsi="ArialMT"/>
              </w:rPr>
              <w:t xml:space="preserve">Mise en place de centres nodaux de mobilité dans les villes appliquant des réglementations environnementales plus strictes et une plus grande pénétration des VE, fourniture de services de mobilité respectueux de l’environnement</w:t>
            </w:r>
          </w:p>
          <w:p w:rsidR="00CC6FB1" w:rsidRPr="00CC6FB1" w:rsidRDefault="00CC6FB1" w:rsidP="00CC6FB1">
            <w:pPr>
              <w:pStyle w:val="Listenabsatz"/>
              <w:numPr>
                <w:ilvl w:val="0"/>
                <w:numId w:val="28"/>
              </w:numPr>
              <w:autoSpaceDE w:val="0"/>
              <w:autoSpaceDN w:val="0"/>
              <w:adjustRightInd w:val="0"/>
              <w:spacing w:line="276" w:lineRule="auto"/>
              <w:ind w:leftChars="0"/>
              <w:rPr>
                <w:rFonts w:ascii="ArialMT" w:hAnsi="ArialMT" w:cs="ArialMT"/>
              </w:rPr>
            </w:pPr>
            <w:r>
              <w:rPr>
                <w:rFonts w:ascii="ArialMT" w:hAnsi="ArialMT"/>
              </w:rPr>
              <w:t xml:space="preserve">Exploration de nouveaux modèles commerciaux (p. ex. logistique, entretien des véhicules) par le biais des «Mobility Hubs / hubs de mobilité»</w:t>
            </w:r>
          </w:p>
          <w:p w:rsidR="00CC6FB1" w:rsidRDefault="00CC6FB1" w:rsidP="00CC6FB1">
            <w:pPr>
              <w:pStyle w:val="Listenabsatz"/>
              <w:numPr>
                <w:ilvl w:val="0"/>
                <w:numId w:val="28"/>
              </w:numPr>
              <w:autoSpaceDE w:val="0"/>
              <w:autoSpaceDN w:val="0"/>
              <w:adjustRightInd w:val="0"/>
              <w:spacing w:line="276" w:lineRule="auto"/>
              <w:ind w:leftChars="0"/>
              <w:rPr>
                <w:b/>
                <w:bCs/>
                <w:rFonts w:ascii="Arial-BoldMT" w:hAnsi="Arial-BoldMT" w:cs="Arial-BoldMT"/>
              </w:rPr>
            </w:pPr>
            <w:r>
              <w:rPr>
                <w:rFonts w:ascii="ArialMT" w:hAnsi="ArialMT"/>
              </w:rPr>
              <w:t xml:space="preserve">Offre de services de mobilité à long terme avec des véhicules électriques et autonomes, leadership pour la clientèle professionnelle sur le marché des utilitaires légers/PBV, en proposant des véhicules sur mesure</w:t>
            </w:r>
          </w:p>
        </w:tc>
      </w:tr>
    </w:tbl>
    <w:p w:rsidR="00AC20FA" w:rsidRDefault="00AC20FA" w:rsidP="00AC20FA">
      <w:pPr>
        <w:autoSpaceDE w:val="0"/>
        <w:autoSpaceDN w:val="0"/>
        <w:adjustRightInd w:val="0"/>
        <w:spacing w:line="360" w:lineRule="auto"/>
        <w:rPr>
          <w:rFonts w:ascii="Arial" w:hAnsi="Arial" w:cs="Arial"/>
          <w:sz w:val="22"/>
          <w:szCs w:val="22"/>
          <w:lang w:eastAsia="en-US"/>
        </w:rPr>
      </w:pPr>
    </w:p>
    <w:p w:rsidR="008E0AC8" w:rsidRDefault="008E0AC8" w:rsidP="00AC20FA">
      <w:pPr>
        <w:autoSpaceDE w:val="0"/>
        <w:autoSpaceDN w:val="0"/>
        <w:adjustRightInd w:val="0"/>
        <w:spacing w:line="360" w:lineRule="auto"/>
        <w:rPr>
          <w:b/>
          <w:bCs/>
          <w:rFonts w:ascii="Arial-BoldMT" w:hAnsi="Arial-BoldMT" w:cs="Arial-BoldMT"/>
        </w:rPr>
      </w:pPr>
      <w:r>
        <w:rPr>
          <w:b/>
          <w:bCs/>
          <w:rFonts w:ascii="Arial-BoldMT" w:hAnsi="Arial-BoldMT"/>
        </w:rPr>
        <w:t xml:space="preserve">Stratégie financière et d’investissement de Kia jusqu’en 2025:</w:t>
      </w:r>
    </w:p>
    <w:p w:rsidR="008E0AC8" w:rsidRDefault="008E0AC8" w:rsidP="00AC20FA">
      <w:pPr>
        <w:autoSpaceDE w:val="0"/>
        <w:autoSpaceDN w:val="0"/>
        <w:adjustRightInd w:val="0"/>
        <w:spacing w:line="360" w:lineRule="auto"/>
        <w:rPr>
          <w:rFonts w:ascii="Arial-BoldMT" w:hAnsi="Arial-BoldMT" w:cs="Arial-BoldMT"/>
          <w:b/>
          <w:bCs/>
          <w:lang w:eastAsia="de-CH"/>
        </w:rPr>
      </w:pPr>
    </w:p>
    <w:tbl>
      <w:tblPr>
        <w:tblStyle w:val="Tabellenraster"/>
        <w:tblW w:w="9493" w:type="dxa"/>
        <w:tblLook w:val="04A0" w:firstRow="1" w:lastRow="0" w:firstColumn="1" w:lastColumn="0" w:noHBand="0" w:noVBand="1"/>
      </w:tblPr>
      <w:tblGrid>
        <w:gridCol w:w="2551"/>
        <w:gridCol w:w="6942"/>
      </w:tblGrid>
      <w:tr w:rsidR="008E0AC8" w:rsidTr="008E0AC8">
        <w:trPr>
          <w:trHeight w:val="4556"/>
        </w:trPr>
        <w:tc>
          <w:tcPr>
            <w:tcW w:w="2551" w:type="dxa"/>
          </w:tcPr>
          <w:p w:rsidR="008E0AC8" w:rsidRDefault="008E0AC8" w:rsidP="005D1754">
            <w:pPr>
              <w:autoSpaceDE w:val="0"/>
              <w:autoSpaceDN w:val="0"/>
              <w:adjustRightInd w:val="0"/>
              <w:rPr>
                <w:b/>
                <w:bCs/>
                <w:rFonts w:ascii="Arial-BoldMT" w:hAnsi="Arial-BoldMT" w:cs="Arial-BoldMT"/>
              </w:rPr>
            </w:pPr>
            <w:r>
              <w:rPr>
                <w:b/>
                <w:bCs/>
                <w:rFonts w:ascii="Arial-BoldMT" w:hAnsi="Arial-BoldMT"/>
              </w:rPr>
              <w:t xml:space="preserve">Rentabilité accrue</w:t>
            </w:r>
          </w:p>
        </w:tc>
        <w:tc>
          <w:tcPr>
            <w:tcW w:w="6942" w:type="dxa"/>
          </w:tcPr>
          <w:p w:rsidR="008E0AC8" w:rsidRPr="008E0AC8" w:rsidRDefault="008E0AC8" w:rsidP="008E0AC8">
            <w:pPr>
              <w:pStyle w:val="Listenabsatz"/>
              <w:numPr>
                <w:ilvl w:val="0"/>
                <w:numId w:val="29"/>
              </w:numPr>
              <w:autoSpaceDE w:val="0"/>
              <w:autoSpaceDN w:val="0"/>
              <w:adjustRightInd w:val="0"/>
              <w:spacing w:line="276" w:lineRule="auto"/>
              <w:ind w:leftChars="0"/>
              <w:rPr>
                <w:rFonts w:ascii="ArialMT" w:hAnsi="ArialMT" w:cs="ArialMT"/>
              </w:rPr>
            </w:pPr>
            <w:r>
              <w:rPr>
                <w:rFonts w:ascii="ArialMT" w:hAnsi="ArialMT"/>
              </w:rPr>
              <w:t xml:space="preserve">Introduction de nouveaux cycles de véhicules, accent mis sur les modèles volumiques de SUV</w:t>
            </w:r>
          </w:p>
          <w:p w:rsidR="008E0AC8" w:rsidRPr="008E0AC8" w:rsidRDefault="008E0AC8" w:rsidP="008E0AC8">
            <w:pPr>
              <w:pStyle w:val="Listenabsatz"/>
              <w:numPr>
                <w:ilvl w:val="0"/>
                <w:numId w:val="29"/>
              </w:numPr>
              <w:autoSpaceDE w:val="0"/>
              <w:autoSpaceDN w:val="0"/>
              <w:adjustRightInd w:val="0"/>
              <w:spacing w:line="276" w:lineRule="auto"/>
              <w:ind w:leftChars="0"/>
              <w:rPr>
                <w:rFonts w:ascii="ArialMT" w:hAnsi="ArialMT" w:cs="ArialMT"/>
              </w:rPr>
            </w:pPr>
            <w:r>
              <w:rPr>
                <w:rFonts w:ascii="ArialMT" w:hAnsi="ArialMT"/>
              </w:rPr>
              <w:t xml:space="preserve">Pénétration accélérée du marché indien:</w:t>
            </w:r>
            <w:r>
              <w:rPr>
                <w:rFonts w:ascii="ArialMT" w:hAnsi="ArialMT"/>
              </w:rPr>
              <w:t xml:space="preserve"> </w:t>
            </w:r>
            <w:r>
              <w:rPr>
                <w:rFonts w:ascii="ArialMT" w:hAnsi="ArialMT"/>
              </w:rPr>
              <w:t xml:space="preserve">augmentation de la capacité annuelle à 300 000 unités grâce à l’élargissement de la gamme de produits</w:t>
            </w:r>
          </w:p>
          <w:p w:rsidR="008E0AC8" w:rsidRPr="004B3055" w:rsidRDefault="008E0AC8" w:rsidP="008E0AC8">
            <w:pPr>
              <w:pStyle w:val="Listenabsatz"/>
              <w:numPr>
                <w:ilvl w:val="0"/>
                <w:numId w:val="30"/>
              </w:numPr>
              <w:autoSpaceDE w:val="0"/>
              <w:autoSpaceDN w:val="0"/>
              <w:adjustRightInd w:val="0"/>
              <w:spacing w:line="276" w:lineRule="auto"/>
              <w:ind w:leftChars="0"/>
              <w:rPr>
                <w:rFonts w:ascii="ArialMT" w:hAnsi="ArialMT" w:cs="ArialMT"/>
              </w:rPr>
            </w:pPr>
            <w:r>
              <w:rPr>
                <w:rFonts w:ascii="ArialMT" w:hAnsi="ArialMT"/>
              </w:rPr>
              <w:t xml:space="preserve">Renforcement des activités sur le marché chinois par des innovations commerciales globales</w:t>
            </w:r>
          </w:p>
          <w:p w:rsidR="008E0AC8" w:rsidRPr="008E0AC8" w:rsidRDefault="008E0AC8" w:rsidP="008E0AC8">
            <w:pPr>
              <w:pStyle w:val="Listenabsatz"/>
              <w:numPr>
                <w:ilvl w:val="0"/>
                <w:numId w:val="30"/>
              </w:numPr>
              <w:autoSpaceDE w:val="0"/>
              <w:autoSpaceDN w:val="0"/>
              <w:adjustRightInd w:val="0"/>
              <w:spacing w:line="276" w:lineRule="auto"/>
              <w:ind w:leftChars="0"/>
              <w:rPr>
                <w:rFonts w:ascii="ArialMT" w:hAnsi="ArialMT" w:cs="ArialMT"/>
              </w:rPr>
            </w:pPr>
            <w:r>
              <w:rPr>
                <w:rFonts w:ascii="ArialMT" w:hAnsi="ArialMT"/>
              </w:rPr>
              <w:t xml:space="preserve">Porter les activités de CKD sur les marchés émergents à 300 000 unités en 2023</w:t>
            </w:r>
          </w:p>
          <w:p w:rsidR="008E0AC8" w:rsidRPr="008E0AC8" w:rsidRDefault="008E0AC8" w:rsidP="008E0AC8">
            <w:pPr>
              <w:pStyle w:val="Listenabsatz"/>
              <w:numPr>
                <w:ilvl w:val="0"/>
                <w:numId w:val="30"/>
              </w:numPr>
              <w:autoSpaceDE w:val="0"/>
              <w:autoSpaceDN w:val="0"/>
              <w:adjustRightInd w:val="0"/>
              <w:spacing w:line="276" w:lineRule="auto"/>
              <w:ind w:leftChars="0"/>
              <w:rPr>
                <w:rFonts w:ascii="ArialMT" w:hAnsi="ArialMT" w:cs="ArialMT"/>
              </w:rPr>
            </w:pPr>
            <w:r>
              <w:rPr>
                <w:rFonts w:ascii="ArialMT" w:hAnsi="ArialMT"/>
              </w:rPr>
              <w:t xml:space="preserve">Porter les ventes de véhicules à moteur thermique sur les marchés émergents à 1,05 million d’unités en 2025</w:t>
            </w:r>
          </w:p>
          <w:p w:rsidR="008E0AC8" w:rsidRPr="001B11AC" w:rsidRDefault="008E0AC8" w:rsidP="008E0AC8">
            <w:pPr>
              <w:pStyle w:val="Listenabsatz"/>
              <w:numPr>
                <w:ilvl w:val="0"/>
                <w:numId w:val="30"/>
              </w:numPr>
              <w:autoSpaceDE w:val="0"/>
              <w:autoSpaceDN w:val="0"/>
              <w:adjustRightInd w:val="0"/>
              <w:spacing w:line="276" w:lineRule="auto"/>
              <w:ind w:leftChars="0"/>
              <w:rPr>
                <w:sz w:val="22"/>
                <w:szCs w:val="22"/>
                <w:rFonts w:ascii="Arial" w:hAnsi="Arial" w:cs="Arial"/>
              </w:rPr>
            </w:pPr>
            <w:r>
              <w:rPr>
                <w:rFonts w:ascii="ArialMT" w:hAnsi="ArialMT"/>
              </w:rPr>
              <w:t xml:space="preserve">Assurer la rentabilité des véhicules électriques en optimisant les structures de coûts</w:t>
            </w:r>
          </w:p>
        </w:tc>
      </w:tr>
      <w:tr w:rsidR="008E0AC8" w:rsidTr="005D1754">
        <w:trPr>
          <w:trHeight w:val="2546"/>
        </w:trPr>
        <w:tc>
          <w:tcPr>
            <w:tcW w:w="2551" w:type="dxa"/>
          </w:tcPr>
          <w:p w:rsidR="008E0AC8" w:rsidRDefault="008E0AC8" w:rsidP="004B3055">
            <w:pPr>
              <w:autoSpaceDE w:val="0"/>
              <w:autoSpaceDN w:val="0"/>
              <w:adjustRightInd w:val="0"/>
              <w:spacing w:line="276" w:lineRule="auto"/>
              <w:rPr>
                <w:b/>
                <w:bCs/>
                <w:rFonts w:ascii="Arial-BoldMT" w:hAnsi="Arial-BoldMT" w:cs="Arial-BoldMT"/>
              </w:rPr>
            </w:pPr>
            <w:r>
              <w:rPr>
                <w:b/>
                <w:bCs/>
                <w:rFonts w:ascii="Arial-BoldMT" w:hAnsi="Arial-BoldMT"/>
              </w:rPr>
              <w:t xml:space="preserve">Maximisation de la valeur pour les actionnaires</w:t>
            </w:r>
          </w:p>
        </w:tc>
        <w:tc>
          <w:tcPr>
            <w:tcW w:w="6942" w:type="dxa"/>
          </w:tcPr>
          <w:p w:rsidR="008E0AC8" w:rsidRPr="008E0AC8" w:rsidRDefault="008E0AC8" w:rsidP="008E0AC8">
            <w:pPr>
              <w:pStyle w:val="Listenabsatz"/>
              <w:numPr>
                <w:ilvl w:val="0"/>
                <w:numId w:val="31"/>
              </w:numPr>
              <w:autoSpaceDE w:val="0"/>
              <w:autoSpaceDN w:val="0"/>
              <w:adjustRightInd w:val="0"/>
              <w:spacing w:line="276" w:lineRule="auto"/>
              <w:ind w:leftChars="0"/>
              <w:rPr>
                <w:rFonts w:ascii="ArialMT" w:hAnsi="ArialMT" w:cs="ArialMT"/>
              </w:rPr>
            </w:pPr>
            <w:r>
              <w:rPr>
                <w:rFonts w:ascii="ArialMT" w:hAnsi="ArialMT"/>
              </w:rPr>
              <w:t xml:space="preserve">À court terme:</w:t>
            </w:r>
            <w:r>
              <w:rPr>
                <w:rFonts w:ascii="ArialMT" w:hAnsi="ArialMT"/>
              </w:rPr>
              <w:t xml:space="preserve"> </w:t>
            </w:r>
            <w:r>
              <w:rPr>
                <w:rFonts w:ascii="ArialMT" w:hAnsi="ArialMT"/>
              </w:rPr>
              <w:t xml:space="preserve">maintien d’un ratio de distribution de 25 à 30 pour cent</w:t>
            </w:r>
          </w:p>
          <w:p w:rsidR="008E0AC8" w:rsidRPr="008E0AC8" w:rsidRDefault="008E0AC8" w:rsidP="008E0AC8">
            <w:pPr>
              <w:pStyle w:val="Listenabsatz"/>
              <w:numPr>
                <w:ilvl w:val="0"/>
                <w:numId w:val="31"/>
              </w:numPr>
              <w:autoSpaceDE w:val="0"/>
              <w:autoSpaceDN w:val="0"/>
              <w:adjustRightInd w:val="0"/>
              <w:spacing w:line="276" w:lineRule="auto"/>
              <w:ind w:leftChars="0"/>
              <w:rPr>
                <w:rFonts w:ascii="ArialMT" w:hAnsi="ArialMT" w:cs="ArialMT"/>
              </w:rPr>
            </w:pPr>
            <w:r>
              <w:rPr>
                <w:rFonts w:ascii="ArialMT" w:hAnsi="ArialMT"/>
              </w:rPr>
              <w:t xml:space="preserve">À moyen et à long terme:</w:t>
            </w:r>
            <w:r>
              <w:rPr>
                <w:rFonts w:ascii="ArialMT" w:hAnsi="ArialMT"/>
              </w:rPr>
              <w:t xml:space="preserve"> </w:t>
            </w:r>
            <w:r>
              <w:rPr>
                <w:rFonts w:ascii="ArialMT" w:hAnsi="ArialMT"/>
              </w:rPr>
              <w:t xml:space="preserve">envisager des rachats d’actions et un taux de distribution plus élevé</w:t>
            </w:r>
          </w:p>
          <w:p w:rsidR="008E0AC8" w:rsidRDefault="008E0AC8" w:rsidP="004B3055">
            <w:pPr>
              <w:pStyle w:val="Listenabsatz"/>
              <w:numPr>
                <w:ilvl w:val="0"/>
                <w:numId w:val="31"/>
              </w:numPr>
              <w:autoSpaceDE w:val="0"/>
              <w:autoSpaceDN w:val="0"/>
              <w:adjustRightInd w:val="0"/>
              <w:spacing w:line="276" w:lineRule="auto"/>
              <w:ind w:leftChars="0"/>
              <w:rPr>
                <w:b/>
                <w:bCs/>
                <w:rFonts w:ascii="Arial-BoldMT" w:hAnsi="Arial-BoldMT" w:cs="Arial-BoldMT"/>
              </w:rPr>
            </w:pPr>
            <w:r>
              <w:rPr>
                <w:rFonts w:ascii="ArialMT" w:hAnsi="ArialMT"/>
              </w:rPr>
              <w:t xml:space="preserve">Atteindre un rendement sur capitaux propres concurrentiel à l’échelle mondiale de l’ordre de 10 pour cent</w:t>
            </w:r>
          </w:p>
        </w:tc>
      </w:tr>
    </w:tbl>
    <w:p w:rsidR="008E0AC8" w:rsidRPr="003C387F" w:rsidRDefault="008E0AC8" w:rsidP="00AC20FA">
      <w:pPr>
        <w:autoSpaceDE w:val="0"/>
        <w:autoSpaceDN w:val="0"/>
        <w:adjustRightInd w:val="0"/>
        <w:spacing w:line="360" w:lineRule="auto"/>
        <w:rPr>
          <w:rFonts w:ascii="Arial" w:hAnsi="Arial" w:cs="Arial"/>
          <w:sz w:val="22"/>
          <w:szCs w:val="22"/>
          <w:lang w:eastAsia="en-US"/>
        </w:rPr>
      </w:pPr>
    </w:p>
    <w:sectPr w:rsidR="008E0AC8" w:rsidRPr="003C387F" w:rsidSect="0025041D">
      <w:headerReference w:type="default" r:id="rId12"/>
      <w:footerReference w:type="default" r:id="rId13"/>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B1" w:rsidRDefault="00CC6FB1">
      <w:r>
        <w:separator/>
      </w:r>
    </w:p>
  </w:endnote>
  <w:endnote w:type="continuationSeparator" w:id="0">
    <w:p w:rsidR="00CC6FB1" w:rsidRDefault="00CC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NeoSans">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B1" w:rsidRPr="00D233C8" w:rsidRDefault="00CC6FB1" w:rsidP="00D14237">
    <w:pPr>
      <w:rPr>
        <w:b/>
        <w:sz w:val="20"/>
        <w:rFonts w:ascii="Arial" w:hAnsi="Arial" w:cs="Arial"/>
      </w:rPr>
    </w:pPr>
    <w:r>
      <w:rPr>
        <w:b/>
        <w:sz w:val="20"/>
        <w:rFonts w:ascii="Arial" w:hAnsi="Arial"/>
      </w:rPr>
      <w:t xml:space="preserve">Contact:</w:t>
    </w:r>
  </w:p>
  <w:p w:rsidR="00CC6FB1" w:rsidRPr="00B676AB" w:rsidRDefault="00CC6FB1" w:rsidP="00D14237">
    <w:pPr>
      <w:rPr>
        <w:rFonts w:ascii="Arial" w:hAnsi="Arial" w:cs="Arial"/>
        <w:sz w:val="20"/>
      </w:rPr>
    </w:pPr>
  </w:p>
  <w:p w:rsidR="00CC6FB1" w:rsidRPr="00D233C8" w:rsidRDefault="00CC6FB1" w:rsidP="00D14237">
    <w:pPr>
      <w:rPr>
        <w:sz w:val="20"/>
        <w:rFonts w:ascii="Arial" w:hAnsi="Arial" w:cs="Arial"/>
      </w:rPr>
    </w:pPr>
    <w:r>
      <w:rPr>
        <w:sz w:val="20"/>
        <w:rFonts w:ascii="Arial" w:hAnsi="Arial"/>
      </w:rPr>
      <w:t xml:space="preserve">KIA Motors AG</w:t>
    </w:r>
    <w:r>
      <w:tab/>
      <w:tab/>
      <w:tab/>
    </w:r>
    <w:r>
      <w:rPr>
        <w:sz w:val="20"/>
        <w:rFonts w:ascii="Arial" w:hAnsi="Arial"/>
      </w:rPr>
      <w:t xml:space="preserve">Ilona Hass</w:t>
    </w:r>
  </w:p>
  <w:p w:rsidR="00CC6FB1" w:rsidRPr="00CD0FA7" w:rsidRDefault="00CC6FB1" w:rsidP="00D14237">
    <w:pPr>
      <w:rPr>
        <w:sz w:val="20"/>
        <w:rFonts w:ascii="Arial" w:hAnsi="Arial" w:cs="Arial"/>
      </w:rPr>
    </w:pPr>
    <w:r>
      <w:rPr>
        <w:sz w:val="20"/>
        <w:rFonts w:ascii="Arial" w:hAnsi="Arial"/>
      </w:rPr>
      <w:t xml:space="preserve">Emil-Frey-Strasse</w:t>
    </w:r>
    <w:r>
      <w:tab/>
      <w:tab/>
    </w:r>
    <w:r>
      <w:rPr>
        <w:sz w:val="20"/>
        <w:rFonts w:ascii="Arial" w:hAnsi="Arial"/>
      </w:rPr>
      <w:t xml:space="preserve">Téléphone:</w:t>
    </w:r>
    <w:r>
      <w:rPr>
        <w:sz w:val="20"/>
        <w:rFonts w:ascii="Arial" w:hAnsi="Arial"/>
      </w:rPr>
      <w:t xml:space="preserve"> </w:t>
    </w:r>
    <w:r>
      <w:rPr>
        <w:sz w:val="20"/>
        <w:rFonts w:ascii="Arial" w:hAnsi="Arial"/>
      </w:rPr>
      <w:t xml:space="preserve">+41 (0)62 788 84 78</w:t>
    </w:r>
  </w:p>
  <w:p w:rsidR="00CC6FB1" w:rsidRPr="00CD0FA7" w:rsidRDefault="00CC6FB1" w:rsidP="00D14237">
    <w:pPr>
      <w:rPr>
        <w:sz w:val="20"/>
        <w:rFonts w:ascii="Arial" w:hAnsi="Arial" w:cs="Arial"/>
      </w:rPr>
    </w:pPr>
    <w:r>
      <w:rPr>
        <w:sz w:val="20"/>
        <w:rFonts w:ascii="Arial" w:hAnsi="Arial"/>
      </w:rPr>
      <w:t xml:space="preserve">CH-5745 Safenwil</w:t>
    </w:r>
    <w:r>
      <w:tab/>
      <w:tab/>
    </w:r>
    <w:hyperlink r:id="rId1">
      <w:r>
        <w:rPr>
          <w:rStyle w:val="Hyperlink"/>
          <w:rStyle w:val="Hyperlink"/>
          <w:sz w:val="20"/>
          <w:rFonts w:ascii="Arial" w:hAnsi="Arial"/>
        </w:rPr>
        <w:t xml:space="preserve">ilona.hass</w:t>
      </w:r>
      <w:bookmarkStart w:id="1" w:name="_Hlt335639820"/>
      <w:bookmarkStart w:id="2" w:name="_Hlt335639821"/>
      <w:bookmarkEnd w:id="1"/>
      <w:bookmarkEnd w:id="2"/>
      <w:r>
        <w:rPr>
          <w:rStyle w:val="Hyperlink"/>
          <w:rStyle w:val="Hyperlink"/>
          <w:sz w:val="20"/>
          <w:rFonts w:ascii="Arial" w:hAnsi="Arial"/>
        </w:rPr>
        <w:t xml:space="preserve">@kia.ch</w:t>
      </w:r>
    </w:hyperlink>
    <w:r>
      <w:rPr>
        <w:rFonts w:ascii="Arial" w:hAnsi="Arial"/>
      </w:rPr>
      <w:t xml:space="preserve">, </w:t>
    </w:r>
    <w:hyperlink r:id="rId2">
      <w:r>
        <w:rPr>
          <w:rStyle w:val="Hyperlink"/>
          <w:sz w:val="20"/>
          <w:rFonts w:ascii="Arial" w:hAnsi="Arial"/>
        </w:rPr>
        <w:t xml:space="preserve">www.kiapress.ch</w:t>
      </w:r>
    </w:hyperlink>
  </w:p>
  <w:p w:rsidR="00CC6FB1" w:rsidRPr="00B676AB" w:rsidRDefault="00CC6FB1">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B1" w:rsidRDefault="00CC6FB1">
      <w:r>
        <w:separator/>
      </w:r>
    </w:p>
  </w:footnote>
  <w:footnote w:type="continuationSeparator" w:id="0">
    <w:p w:rsidR="00CC6FB1" w:rsidRDefault="00CC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B1" w:rsidRDefault="00CC6FB1">
    <w:pPr>
      <w:pStyle w:val="Kopfzeile"/>
    </w:pPr>
  </w:p>
  <w:p w:rsidR="00CC6FB1" w:rsidRDefault="00CC6FB1">
    <w:pPr>
      <w:pStyle w:val="Kopfzeile"/>
    </w:pPr>
  </w:p>
  <w:p w:rsidR="00CC6FB1" w:rsidRDefault="00CC6FB1" w:rsidP="00066E6A">
    <w:pPr>
      <w:pStyle w:val="Kopfzeile"/>
      <w:rPr>
        <w:b/>
        <w:color w:val="FF0000"/>
        <w:sz w:val="36"/>
        <w:rFonts w:ascii="NeoSans" w:hAnsi="NeoSans"/>
      </w:rPr>
    </w:pPr>
    <w: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FB1" w:rsidRDefault="00CC6FB1" w:rsidP="00D14237">
    <w:pPr>
      <w:pStyle w:val="Kopfzeile"/>
      <w:rPr>
        <w:b/>
        <w:color w:val="C00000"/>
        <w:sz w:val="36"/>
        <w:rFonts w:ascii="Tahoma" w:hAnsi="Tahoma"/>
      </w:rPr>
    </w:pPr>
    <w:r>
      <w:rPr>
        <w:b/>
        <w:color w:val="C00000"/>
        <w:sz w:val="36"/>
        <w:rFonts w:ascii="Tahoma" w:hAnsi="Tahoma"/>
      </w:rPr>
      <w:t xml:space="preserve">COMMUNIQUÉ DE PRESSE</w:t>
    </w:r>
  </w:p>
  <w:p w:rsidR="00CC6FB1" w:rsidRPr="00AB6C8F" w:rsidRDefault="00CC6FB1" w:rsidP="00066E6A">
    <w:pPr>
      <w:pStyle w:val="Kopfzeile"/>
      <w:rPr>
        <w:rFonts w:ascii="Tahoma" w:hAnsi="Tahoma" w:cs="Tahoma"/>
        <w:b/>
        <w:color w:val="C00000"/>
        <w:sz w:val="36"/>
      </w:rPr>
    </w:pPr>
  </w:p>
  <w:p w:rsidR="00CC6FB1" w:rsidRPr="0057728E" w:rsidRDefault="00CC6FB1" w:rsidP="00066E6A">
    <w:pPr>
      <w:pStyle w:val="Kopfzeile"/>
      <w:rPr>
        <w:color w:val="C00000"/>
      </w:rPr>
    </w:pPr>
  </w:p>
  <w:p w:rsidR="00CC6FB1" w:rsidRPr="0057728E" w:rsidRDefault="00CC6FB1" w:rsidP="00066E6A">
    <w:pPr>
      <w:pStyle w:val="Kopfzeile"/>
      <w:rPr>
        <w:color w:val="C00000"/>
      </w:rPr>
    </w:pPr>
    <w: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B6EBA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CC6FB1" w:rsidRDefault="00CC6FB1" w:rsidP="00066E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0"/>
  </w:num>
  <w:num w:numId="2">
    <w:abstractNumId w:val="23"/>
  </w:num>
  <w:num w:numId="3">
    <w:abstractNumId w:val="1"/>
  </w:num>
  <w:num w:numId="4">
    <w:abstractNumId w:val="6"/>
  </w:num>
  <w:num w:numId="5">
    <w:abstractNumId w:val="17"/>
  </w:num>
  <w:num w:numId="6">
    <w:abstractNumId w:val="10"/>
  </w:num>
  <w:num w:numId="7">
    <w:abstractNumId w:val="4"/>
  </w:num>
  <w:num w:numId="8">
    <w:abstractNumId w:val="18"/>
  </w:num>
  <w:num w:numId="9">
    <w:abstractNumId w:val="29"/>
  </w:num>
  <w:num w:numId="10">
    <w:abstractNumId w:val="13"/>
  </w:num>
  <w:num w:numId="11">
    <w:abstractNumId w:val="0"/>
  </w:num>
  <w:num w:numId="12">
    <w:abstractNumId w:val="11"/>
  </w:num>
  <w:num w:numId="13">
    <w:abstractNumId w:val="16"/>
  </w:num>
  <w:num w:numId="14">
    <w:abstractNumId w:val="21"/>
  </w:num>
  <w:num w:numId="15">
    <w:abstractNumId w:val="25"/>
  </w:num>
  <w:num w:numId="16">
    <w:abstractNumId w:val="5"/>
  </w:num>
  <w:num w:numId="17">
    <w:abstractNumId w:val="15"/>
  </w:num>
  <w:num w:numId="18">
    <w:abstractNumId w:val="8"/>
  </w:num>
  <w:num w:numId="19">
    <w:abstractNumId w:val="3"/>
  </w:num>
  <w:num w:numId="20">
    <w:abstractNumId w:val="22"/>
  </w:num>
  <w:num w:numId="21">
    <w:abstractNumId w:val="7"/>
  </w:num>
  <w:num w:numId="22">
    <w:abstractNumId w:val="24"/>
  </w:num>
  <w:num w:numId="23">
    <w:abstractNumId w:val="28"/>
  </w:num>
  <w:num w:numId="24">
    <w:abstractNumId w:val="26"/>
  </w:num>
  <w:num w:numId="25">
    <w:abstractNumId w:val="14"/>
  </w:num>
  <w:num w:numId="26">
    <w:abstractNumId w:val="2"/>
  </w:num>
  <w:num w:numId="27">
    <w:abstractNumId w:val="9"/>
  </w:num>
  <w:num w:numId="28">
    <w:abstractNumId w:val="12"/>
  </w:num>
  <w:num w:numId="29">
    <w:abstractNumId w:val="27"/>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dirty" w:grammar="dirty"/>
  <w:defaultTabStop w:val="800"/>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055"/>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B98"/>
    <w:rsid w:val="007B4690"/>
    <w:rsid w:val="007B541C"/>
    <w:rsid w:val="007B62ED"/>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fr-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0dfba3c1-64c1-4531-8f3e-2e0346c6359b"/>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3E9ECA27-40F8-4DA6-B0EC-C7A6C350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2788</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3224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2020-01-16T09:08:00Z</dcterms:created>
  <dcterms:modified xsi:type="dcterms:W3CDTF">2020-01-16T10:19:00Z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